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22495A"/>
          <w:sz w:val="40"/>
        </w:rPr>
        <w:t>PMDD Quiz — Answer Key</w:t>
      </w:r>
    </w:p>
    <w:p>
      <w:r>
        <w:rPr>
          <w:color w:val="486573"/>
          <w:sz w:val="24"/>
        </w:rPr>
        <w:t>For facilitator/records (do not distribute to learners if assessing)</w:t>
      </w:r>
    </w:p>
    <w:p>
      <w:pPr>
        <w:spacing w:after="120"/>
        <w:pBdr>
          <w:bottom w:val="single" w:sz="12" w:color="D8C7BD"/>
        </w:pBdr>
      </w:pPr>
      <w:r/>
    </w:p>
    <w:p>
      <w:pPr>
        <w:pStyle w:val="ListBullet"/>
      </w:pPr>
      <w:r>
        <w:rPr>
          <w:color w:val="414141"/>
          <w:sz w:val="22"/>
        </w:rPr>
        <w:t>Q1: B</w:t>
      </w:r>
    </w:p>
    <w:p>
      <w:r>
        <w:rPr>
          <w:color w:val="486573"/>
        </w:rPr>
        <w:t>Prospective ratings demonstrating luteal‑restricted symptoms with remission in the follicular phase differentiate PMDD from PME.</w:t>
      </w:r>
    </w:p>
    <w:p>
      <w:pPr>
        <w:pStyle w:val="ListBullet"/>
      </w:pPr>
      <w:r>
        <w:rPr>
          <w:color w:val="414141"/>
          <w:sz w:val="22"/>
        </w:rPr>
        <w:t>Q2: A</w:t>
      </w:r>
    </w:p>
    <w:p>
      <w:r>
        <w:rPr>
          <w:color w:val="486573"/>
        </w:rPr>
        <w:t>Luteal SSRI has strong evidence and rapid effect; continuous dosing is reasonable if symptoms spill into follicular phase.</w:t>
      </w:r>
    </w:p>
    <w:p>
      <w:pPr>
        <w:pStyle w:val="ListBullet"/>
      </w:pPr>
      <w:r>
        <w:rPr>
          <w:color w:val="414141"/>
          <w:sz w:val="22"/>
        </w:rPr>
        <w:t>Q3: B</w:t>
      </w:r>
    </w:p>
    <w:p>
      <w:r>
        <w:rPr>
          <w:color w:val="486573"/>
        </w:rPr>
        <w:t>Oestrogen‑containing COCs are contraindicated with migraine with aura; consider SSRI pathway.</w:t>
      </w:r>
    </w:p>
    <w:p>
      <w:pPr>
        <w:pStyle w:val="ListBullet"/>
      </w:pPr>
      <w:r>
        <w:rPr>
          <w:color w:val="414141"/>
          <w:sz w:val="22"/>
        </w:rPr>
        <w:t>Q4: B</w:t>
      </w:r>
    </w:p>
    <w:p>
      <w:r>
        <w:rPr>
          <w:color w:val="486573"/>
        </w:rPr>
        <w:t>Continuous dosing covers mid‑cycle symptoms; reassess after 1–2 cycles and monitor side effects.</w:t>
      </w:r>
    </w:p>
    <w:p>
      <w:pPr>
        <w:pStyle w:val="ListBullet"/>
      </w:pPr>
      <w:r>
        <w:rPr>
          <w:color w:val="414141"/>
          <w:sz w:val="22"/>
        </w:rPr>
        <w:t>Q5: C</w:t>
      </w:r>
    </w:p>
    <w:p>
      <w:r>
        <w:rPr>
          <w:color w:val="486573"/>
        </w:rPr>
        <w:t>Active suicidality warrants urgent assessment and safety planning.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