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BB6B7" w14:textId="77777777" w:rsidR="00D9548C" w:rsidRDefault="00000000">
      <w:r>
        <w:rPr>
          <w:b/>
          <w:color w:val="22495A"/>
          <w:sz w:val="40"/>
        </w:rPr>
        <w:t>PMDD — Case‑Based Quiz (RP)</w:t>
      </w:r>
    </w:p>
    <w:p w14:paraId="60BD4DEA" w14:textId="77777777" w:rsidR="00D9548C" w:rsidRDefault="00000000">
      <w:r>
        <w:rPr>
          <w:color w:val="486573"/>
          <w:sz w:val="24"/>
        </w:rPr>
        <w:t>Complete and keep results/feedback as evidence</w:t>
      </w:r>
    </w:p>
    <w:p w14:paraId="5962F621" w14:textId="77777777" w:rsidR="00D9548C" w:rsidRDefault="00D9548C">
      <w:pPr>
        <w:pBdr>
          <w:bottom w:val="single" w:sz="12" w:space="0" w:color="D8C7BD"/>
        </w:pBdr>
        <w:spacing w:after="120"/>
      </w:pPr>
    </w:p>
    <w:p w14:paraId="44892DF3" w14:textId="77777777" w:rsidR="00D9548C" w:rsidRDefault="00000000">
      <w:r>
        <w:rPr>
          <w:b/>
          <w:color w:val="486573"/>
          <w:sz w:val="24"/>
        </w:rPr>
        <w:t>Q1. A 29‑year‑old has severe mood lability and anger 3–5 days pre‑menses, resolving within 2 days of bleeding. Which step best confirms PMDD vs PME?</w:t>
      </w:r>
    </w:p>
    <w:p w14:paraId="5DB49493" w14:textId="77777777" w:rsidR="00D9548C" w:rsidRDefault="00000000">
      <w:pPr>
        <w:pStyle w:val="ListBullet"/>
      </w:pPr>
      <w:r>
        <w:rPr>
          <w:color w:val="414141"/>
        </w:rPr>
        <w:t>A) Serum progesterone mid‑luteal</w:t>
      </w:r>
    </w:p>
    <w:p w14:paraId="73B4A850" w14:textId="77777777" w:rsidR="00D9548C" w:rsidRDefault="00000000">
      <w:pPr>
        <w:pStyle w:val="ListBullet"/>
      </w:pPr>
      <w:r>
        <w:rPr>
          <w:color w:val="414141"/>
        </w:rPr>
        <w:t>B) Prospective daily ratings (e.g., DRSP) for ≥2 cycles</w:t>
      </w:r>
    </w:p>
    <w:p w14:paraId="74A9E7E4" w14:textId="77777777" w:rsidR="00D9548C" w:rsidRDefault="00000000">
      <w:pPr>
        <w:pStyle w:val="ListBullet"/>
      </w:pPr>
      <w:r>
        <w:rPr>
          <w:color w:val="414141"/>
        </w:rPr>
        <w:t>C) Retrospective symptom checklist</w:t>
      </w:r>
    </w:p>
    <w:p w14:paraId="35320626" w14:textId="77777777" w:rsidR="00D9548C" w:rsidRDefault="00000000">
      <w:pPr>
        <w:pStyle w:val="ListBullet"/>
      </w:pPr>
      <w:r>
        <w:rPr>
          <w:color w:val="414141"/>
        </w:rPr>
        <w:t>D) LH ovulation test</w:t>
      </w:r>
    </w:p>
    <w:p w14:paraId="5B229E12" w14:textId="77777777" w:rsidR="00D9548C" w:rsidRDefault="00D9548C"/>
    <w:p w14:paraId="5A16F034" w14:textId="77777777" w:rsidR="00D9548C" w:rsidRDefault="00000000">
      <w:r>
        <w:rPr>
          <w:i/>
          <w:color w:val="486573"/>
        </w:rPr>
        <w:t>Feedback: Prospective ratings demonstrating luteal‑restricted symptoms with remission in the follicular phase differentiate PMDD from PME.</w:t>
      </w:r>
    </w:p>
    <w:p w14:paraId="3D09E8A9" w14:textId="77777777" w:rsidR="00D9548C" w:rsidRDefault="00D9548C"/>
    <w:p w14:paraId="402F7934" w14:textId="77777777" w:rsidR="00D9548C" w:rsidRDefault="00000000">
      <w:r>
        <w:rPr>
          <w:b/>
          <w:color w:val="486573"/>
          <w:sz w:val="24"/>
        </w:rPr>
        <w:t>Q2. For moderate–severe PMDD with rapid onset desired, the preferred first‑line pharmacotherapy is:</w:t>
      </w:r>
    </w:p>
    <w:p w14:paraId="7849A99D" w14:textId="77777777" w:rsidR="00D9548C" w:rsidRDefault="00000000">
      <w:pPr>
        <w:pStyle w:val="ListBullet"/>
      </w:pPr>
      <w:r>
        <w:rPr>
          <w:color w:val="414141"/>
        </w:rPr>
        <w:t>A) Intermittent luteal‑phase SSRI</w:t>
      </w:r>
    </w:p>
    <w:p w14:paraId="3CFCD130" w14:textId="77777777" w:rsidR="00D9548C" w:rsidRDefault="00000000">
      <w:pPr>
        <w:pStyle w:val="ListBullet"/>
      </w:pPr>
      <w:r>
        <w:rPr>
          <w:color w:val="414141"/>
        </w:rPr>
        <w:t>B) Benzodiazepine PRN</w:t>
      </w:r>
    </w:p>
    <w:p w14:paraId="49F20085" w14:textId="77777777" w:rsidR="00D9548C" w:rsidRDefault="00000000">
      <w:pPr>
        <w:pStyle w:val="ListBullet"/>
      </w:pPr>
      <w:r>
        <w:rPr>
          <w:color w:val="414141"/>
        </w:rPr>
        <w:t>C) Continuous tricyclic antidepressant</w:t>
      </w:r>
    </w:p>
    <w:p w14:paraId="640ABF3D" w14:textId="77777777" w:rsidR="00D9548C" w:rsidRDefault="00000000">
      <w:pPr>
        <w:pStyle w:val="ListBullet"/>
      </w:pPr>
      <w:r>
        <w:rPr>
          <w:color w:val="414141"/>
        </w:rPr>
        <w:t>D) Progesterone cream</w:t>
      </w:r>
    </w:p>
    <w:p w14:paraId="0B576799" w14:textId="77777777" w:rsidR="00D9548C" w:rsidRDefault="00D9548C"/>
    <w:p w14:paraId="332E034B" w14:textId="77777777" w:rsidR="00D9548C" w:rsidRDefault="00000000">
      <w:r>
        <w:rPr>
          <w:i/>
          <w:color w:val="486573"/>
        </w:rPr>
        <w:t>Feedback: Luteal SSRI has strong evidence and rapid effect; continuous dosing is reasonable if symptoms spill into follicular phase.</w:t>
      </w:r>
    </w:p>
    <w:p w14:paraId="07411C42" w14:textId="77777777" w:rsidR="00D9548C" w:rsidRDefault="00D9548C"/>
    <w:p w14:paraId="67E5B271" w14:textId="0817D2FF" w:rsidR="00D9548C" w:rsidRDefault="00000000">
      <w:r>
        <w:rPr>
          <w:b/>
          <w:color w:val="486573"/>
          <w:sz w:val="24"/>
        </w:rPr>
        <w:t xml:space="preserve">Q3. Which is a contraindication to </w:t>
      </w:r>
      <w:proofErr w:type="spellStart"/>
      <w:r>
        <w:rPr>
          <w:b/>
          <w:color w:val="486573"/>
          <w:sz w:val="24"/>
        </w:rPr>
        <w:t>drospirenone</w:t>
      </w:r>
      <w:proofErr w:type="spellEnd"/>
      <w:r>
        <w:rPr>
          <w:b/>
          <w:color w:val="486573"/>
          <w:sz w:val="24"/>
        </w:rPr>
        <w:t>/EE COC for PMDD?</w:t>
      </w:r>
    </w:p>
    <w:p w14:paraId="71FB882B" w14:textId="77777777" w:rsidR="00D9548C" w:rsidRDefault="00000000">
      <w:pPr>
        <w:pStyle w:val="ListBullet"/>
      </w:pPr>
      <w:r>
        <w:rPr>
          <w:color w:val="414141"/>
        </w:rPr>
        <w:t>A) Dysmenorrhea</w:t>
      </w:r>
    </w:p>
    <w:p w14:paraId="59A3C1C5" w14:textId="77777777" w:rsidR="00D9548C" w:rsidRDefault="00000000">
      <w:pPr>
        <w:pStyle w:val="ListBullet"/>
      </w:pPr>
      <w:r>
        <w:rPr>
          <w:color w:val="414141"/>
        </w:rPr>
        <w:t>B) Migraine with aura</w:t>
      </w:r>
    </w:p>
    <w:p w14:paraId="7A4D8ED6" w14:textId="77777777" w:rsidR="00D9548C" w:rsidRDefault="00000000">
      <w:pPr>
        <w:pStyle w:val="ListBullet"/>
      </w:pPr>
      <w:r>
        <w:rPr>
          <w:color w:val="414141"/>
        </w:rPr>
        <w:t>C) Mild acne</w:t>
      </w:r>
    </w:p>
    <w:p w14:paraId="0C6D93A4" w14:textId="77777777" w:rsidR="00D9548C" w:rsidRDefault="00000000">
      <w:pPr>
        <w:pStyle w:val="ListBullet"/>
      </w:pPr>
      <w:r>
        <w:rPr>
          <w:color w:val="414141"/>
        </w:rPr>
        <w:t>D) Iron‑deficiency anaemia</w:t>
      </w:r>
    </w:p>
    <w:p w14:paraId="62C5C3A2" w14:textId="77777777" w:rsidR="00D9548C" w:rsidRDefault="00D9548C"/>
    <w:p w14:paraId="57EEFB83" w14:textId="6D728F8D" w:rsidR="00D9548C" w:rsidRDefault="00000000">
      <w:r>
        <w:rPr>
          <w:i/>
          <w:color w:val="486573"/>
        </w:rPr>
        <w:t xml:space="preserve">Feedback: Oestrogen‑containing COCs are contraindicated </w:t>
      </w:r>
      <w:r w:rsidR="006B2C93">
        <w:rPr>
          <w:i/>
          <w:color w:val="486573"/>
        </w:rPr>
        <w:t>with</w:t>
      </w:r>
      <w:r>
        <w:rPr>
          <w:i/>
          <w:color w:val="486573"/>
        </w:rPr>
        <w:t xml:space="preserve"> migraine with </w:t>
      </w:r>
      <w:r w:rsidRPr="006B2C93">
        <w:rPr>
          <w:i/>
          <w:color w:val="486573"/>
          <w:u w:val="single"/>
        </w:rPr>
        <w:t>aura</w:t>
      </w:r>
      <w:r w:rsidR="006B2C93">
        <w:rPr>
          <w:i/>
          <w:color w:val="486573"/>
        </w:rPr>
        <w:t>, in particular those with limbs affected</w:t>
      </w:r>
      <w:r>
        <w:rPr>
          <w:i/>
          <w:color w:val="486573"/>
        </w:rPr>
        <w:t>; consider SSRI pathway.</w:t>
      </w:r>
    </w:p>
    <w:p w14:paraId="0633AC61" w14:textId="77777777" w:rsidR="00D9548C" w:rsidRDefault="00D9548C"/>
    <w:p w14:paraId="0768CC46" w14:textId="77777777" w:rsidR="00D9548C" w:rsidRDefault="00000000">
      <w:r>
        <w:rPr>
          <w:b/>
          <w:color w:val="486573"/>
          <w:sz w:val="24"/>
        </w:rPr>
        <w:t>Q4. After two luteal SSRI cycles, partial response with significant mid‑cycle symptoms remains. Next best step:</w:t>
      </w:r>
    </w:p>
    <w:p w14:paraId="5A715466" w14:textId="77777777" w:rsidR="00D9548C" w:rsidRDefault="00000000">
      <w:pPr>
        <w:pStyle w:val="ListBullet"/>
      </w:pPr>
      <w:r>
        <w:rPr>
          <w:color w:val="414141"/>
        </w:rPr>
        <w:t>A) Stop SSRI and start benzodiazepine</w:t>
      </w:r>
    </w:p>
    <w:p w14:paraId="48BFA505" w14:textId="77777777" w:rsidR="00D9548C" w:rsidRDefault="00000000">
      <w:pPr>
        <w:pStyle w:val="ListBullet"/>
      </w:pPr>
      <w:r>
        <w:rPr>
          <w:color w:val="414141"/>
        </w:rPr>
        <w:t>B) Switch to continuous SSRI</w:t>
      </w:r>
    </w:p>
    <w:p w14:paraId="7B2A9418" w14:textId="77777777" w:rsidR="00D9548C" w:rsidRDefault="00000000">
      <w:pPr>
        <w:pStyle w:val="ListBullet"/>
      </w:pPr>
      <w:r>
        <w:rPr>
          <w:color w:val="414141"/>
        </w:rPr>
        <w:t>C) Add progesterone</w:t>
      </w:r>
    </w:p>
    <w:p w14:paraId="2B805069" w14:textId="77777777" w:rsidR="00D9548C" w:rsidRDefault="00000000">
      <w:pPr>
        <w:pStyle w:val="ListBullet"/>
      </w:pPr>
      <w:r>
        <w:rPr>
          <w:color w:val="414141"/>
        </w:rPr>
        <w:t>D) Add antipsychotic</w:t>
      </w:r>
    </w:p>
    <w:p w14:paraId="74999100" w14:textId="77777777" w:rsidR="00D9548C" w:rsidRDefault="00D9548C"/>
    <w:p w14:paraId="425CAA6E" w14:textId="77777777" w:rsidR="00D9548C" w:rsidRDefault="00000000">
      <w:r>
        <w:rPr>
          <w:i/>
          <w:color w:val="486573"/>
        </w:rPr>
        <w:t>Feedback: Continuous dosing covers mid‑cycle symptoms; reassess after 1–2 cycles and monitor side effects.</w:t>
      </w:r>
    </w:p>
    <w:p w14:paraId="78031A58" w14:textId="77777777" w:rsidR="00D9548C" w:rsidRDefault="00D9548C"/>
    <w:p w14:paraId="2A16A0C0" w14:textId="77777777" w:rsidR="00D9548C" w:rsidRDefault="00000000">
      <w:r>
        <w:rPr>
          <w:b/>
          <w:color w:val="486573"/>
          <w:sz w:val="24"/>
        </w:rPr>
        <w:t>Q5. Which red flag requires urgent referral?</w:t>
      </w:r>
    </w:p>
    <w:p w14:paraId="4121A61D" w14:textId="77777777" w:rsidR="00D9548C" w:rsidRDefault="00000000">
      <w:pPr>
        <w:pStyle w:val="ListBullet"/>
      </w:pPr>
      <w:r>
        <w:rPr>
          <w:color w:val="414141"/>
        </w:rPr>
        <w:t>A) Persistent insomnia</w:t>
      </w:r>
    </w:p>
    <w:p w14:paraId="42EE8180" w14:textId="77777777" w:rsidR="00D9548C" w:rsidRDefault="00000000">
      <w:pPr>
        <w:pStyle w:val="ListBullet"/>
      </w:pPr>
      <w:r>
        <w:rPr>
          <w:color w:val="414141"/>
        </w:rPr>
        <w:t>B) Passive death wishes without plan</w:t>
      </w:r>
    </w:p>
    <w:p w14:paraId="52EAD29B" w14:textId="77777777" w:rsidR="00D9548C" w:rsidRDefault="00000000">
      <w:pPr>
        <w:pStyle w:val="ListBullet"/>
      </w:pPr>
      <w:r>
        <w:rPr>
          <w:color w:val="414141"/>
        </w:rPr>
        <w:t>C) Active suicidal intent or recent attempt</w:t>
      </w:r>
    </w:p>
    <w:p w14:paraId="159E6C9D" w14:textId="77777777" w:rsidR="00D9548C" w:rsidRDefault="00000000">
      <w:pPr>
        <w:pStyle w:val="ListBullet"/>
      </w:pPr>
      <w:r>
        <w:rPr>
          <w:color w:val="414141"/>
        </w:rPr>
        <w:t>D) Workplace conflict pre‑menses</w:t>
      </w:r>
    </w:p>
    <w:p w14:paraId="79B97083" w14:textId="77777777" w:rsidR="00D9548C" w:rsidRDefault="00D9548C"/>
    <w:p w14:paraId="5A1E5B9B" w14:textId="77777777" w:rsidR="00D9548C" w:rsidRDefault="00000000">
      <w:r>
        <w:rPr>
          <w:i/>
          <w:color w:val="486573"/>
        </w:rPr>
        <w:t>Feedback: Active suicidality warrants urgent assessment and safety planning.</w:t>
      </w:r>
    </w:p>
    <w:p w14:paraId="59AD397A" w14:textId="77777777" w:rsidR="00D9548C" w:rsidRDefault="00D9548C"/>
    <w:sectPr w:rsidR="00D9548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99611564">
    <w:abstractNumId w:val="8"/>
  </w:num>
  <w:num w:numId="2" w16cid:durableId="1763602189">
    <w:abstractNumId w:val="6"/>
  </w:num>
  <w:num w:numId="3" w16cid:durableId="1470784795">
    <w:abstractNumId w:val="5"/>
  </w:num>
  <w:num w:numId="4" w16cid:durableId="1372538609">
    <w:abstractNumId w:val="4"/>
  </w:num>
  <w:num w:numId="5" w16cid:durableId="992216693">
    <w:abstractNumId w:val="7"/>
  </w:num>
  <w:num w:numId="6" w16cid:durableId="1212964678">
    <w:abstractNumId w:val="3"/>
  </w:num>
  <w:num w:numId="7" w16cid:durableId="354816276">
    <w:abstractNumId w:val="2"/>
  </w:num>
  <w:num w:numId="8" w16cid:durableId="1083335150">
    <w:abstractNumId w:val="1"/>
  </w:num>
  <w:num w:numId="9" w16cid:durableId="1833714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B2C93"/>
    <w:rsid w:val="00AA1D8D"/>
    <w:rsid w:val="00B47730"/>
    <w:rsid w:val="00CB0664"/>
    <w:rsid w:val="00D9548C"/>
    <w:rsid w:val="00F97F3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CCFEAF"/>
  <w14:defaultImageDpi w14:val="300"/>
  <w15:docId w15:val="{063B1CE5-5179-AA4A-859A-D40B2DFE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Louise Garcia-Rodriguez</cp:lastModifiedBy>
  <cp:revision>2</cp:revision>
  <dcterms:created xsi:type="dcterms:W3CDTF">2013-12-23T23:15:00Z</dcterms:created>
  <dcterms:modified xsi:type="dcterms:W3CDTF">2025-08-16T09:52:00Z</dcterms:modified>
  <cp:category/>
</cp:coreProperties>
</file>